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2024/106 vom 25. Februar 2025</w:t>
      </w:r>
    </w:p>
    <w:p>
      <w:r>
        <w:t>Sg Versicherungsgericht, 2025-02-25, DE</w:t>
      </w:r>
    </w:p>
    <w:p>
      <w:r>
        <w:rPr>
          <w:b/>
        </w:rPr>
        <w:t xml:space="preserve">Quelle: </w:t>
      </w:r>
      <w:r>
        <w:t>https://mcp.opencaselaw.ch/entscheid/sg_publikationen_IV 2024_106</w:t>
      </w:r>
    </w:p>
    <w:p>
      <w:r>
        <w:t>FR: SG_VERSICHERUNGSGERICHT IV 2024/106 du 25 février 2025</w:t>
      </w:r>
    </w:p>
    <w:p>
      <w:r>
        <w:t>IT: SG_VERSICHERUNGSGERICHT IV 2024/106 del 25 febbraio 2025</w:t>
      </w:r>
    </w:p>
    <w:p>
      <w:pPr>
        <w:pStyle w:val="Heading2"/>
      </w:pPr>
      <w:r>
        <w:t>Regeste</w:t>
      </w:r>
    </w:p>
    <w:p>
      <w:r>
        <w:t>Art. 28 IVG. Art. 16 ATSG. Invalidenrente. Würdigung eines Administrativgutachtens (Entscheid des Versicherungsgerichts des Kantons St. Gallen vom 25. Februar 2025, IV 2024/106).</w:t>
      </w:r>
    </w:p>
    <w:p>
      <w:pPr>
        <w:pStyle w:val="Heading2"/>
      </w:pPr>
      <w:r>
        <w:t>Erwägungen</w:t>
      </w:r>
    </w:p>
    <w:p>
      <w:r>
        <w:rPr>
          <w:b/>
        </w:rPr>
        <w:t>E. 1</w:t>
      </w:r>
    </w:p>
    <w:p>
      <w:r>
        <w:t>IV 2024/106 5/8</w:t>
      </w:r>
    </w:p>
    <w:p>
      <w:r>
        <w:t>Der Zweck dieses Beschwerdeverfahrens erschöpft sic h in der Überprüfung der angefochtenen Verfügung auf deren Rechtmässigkeit, weshalb sein G egenstand jenem des vorangegangenen Verwaltungsverfahrens entsprechen muss. Dieses hat sich nach der verbindlichen Abweisung des Begehrens um berufliche Eingliederungsmassnahmen am 9. Mai 2023 auf die Prüfung des im Januar 2023 eingereichten Rentenbegehrens beschränkt. Bei jenem Rentenbegehren hat es sich um eine sogenannte Neuanmeldung gehandelt, weshalb das Eint reten darauf das Glaubhaftmachen einer relevanten Sachverhaltsveränderung seit der Abweisung des ersten Rentenbegehrens am 24. Januar 2014 vorausgesetzt hat (Art. 87 Abs. 3 IVV). Das is t der Beschwerdeführerin gemäss der überzeugenden Aktenwürdigung des RAD -Arztes Dr. F.___ mit den von ihr eingereichten medizinischen Berichten gelungen, weshalb die Beschwerdegegnerin zu Recht auf die Neuanmeldung eingetreten ist. In diesem Beschwerdeverfahren ist folglich zu prüfen, ob die Beschwerdeführerin (frühestens ab dem 1. Juli 2023; vgl. Art. 29 Abs. 1 IVG) einen Anspruch auf eine Rente der Invalidenversicherung gehabt hat.</w:t>
      </w:r>
    </w:p>
    <w:p>
      <w:r>
        <w:rPr>
          <w:b/>
        </w:rPr>
        <w:t>E. 2</w:t>
      </w:r>
    </w:p>
    <w:p>
      <w:r>
        <w:t>Eine versicherte Person, die ihre Erwerbsfähigkeit nicht durch zumutbare Eingliederungsmassnahmen wieder herstellen, erhalten oder verbessern kann, die während eines Jahres ohne einen wesentlichen Unterbruch durchschnittlich mindestens 40 Prozent a 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 em Eintritt der Gesundheitsbeeinträchtigung und nach der Durchführung der medizinischen Behandlung und allfälliger Eingliederungsmassnahmen durch eine ihr zumutbare Tätigkeit bei einer ausgeg lichenen Arbeitsmarktlage erzielen könnte, in Beziehung zu jenem Erwerbseinkommen gesetzt, das sie erzielen könnte, wenn sie gesund geblieben wäre (Art. 28a Abs. 1 IVG i.V.m. Art. 16 ATSG).</w:t>
      </w:r>
    </w:p>
    <w:p>
      <w:r>
        <w:rPr>
          <w:b/>
        </w:rPr>
        <w:t>E. 3</w:t>
      </w:r>
    </w:p>
    <w:p>
      <w:r>
        <w:t>Die Beschwerdeführerin hat keine Berufsausbildung absolviert. Sie hat typische Hilfsarbeiten verrichtet. Ihre Erwerbsmöglichkeiten auf dem invalidenversiche rungsrechtlich massgebenden allgemeinen und ausgeglichenen Arbeitsmarkt haben folglich jenen ei ner typischen Hilfsarbeiterin entsprochen, was bedeutet, dass das Valideneinkommen dem statistisch en Zentralwert der Hilfsarbeiterinnenlöhne entspricht.</w:t>
      </w:r>
    </w:p>
    <w:p>
      <w:r>
        <w:rPr>
          <w:b/>
        </w:rPr>
        <w:t>E. 4.1</w:t>
      </w:r>
    </w:p>
    <w:p>
      <w:r>
        <w:t>Für die Bestimmung des zumutbarerweise erzielbaren Invalideneinkommens ist massgebend, welche Tätigkeiten der Beschwerdeführerin aus mediz inischer Sicht in welchem Umfang zugemutet IV 2024/106 6/8</w:t>
      </w:r>
    </w:p>
    <w:p>
      <w:r>
        <w:t>werden können. Die Beschwerdegegnerin hat zur Beant wortung dieser Frage ein bidisziplinäres internistisches und psychiatrisches Gutachten der S MAB AG eingeholt. Die Sachverständigen haben die Beschwerdeführerin umfassend persönlich untersucht und sie haben die medizinischen Vorakten eingehend gewürdigt. Nichts deutet darauf hin, dass sie eine wesentliche Tatsache übersehen hätten. Sie haben also über eine profunde Kenntnis des für ihre fachärztliche Beurteilung massgebenden Sachverhaltes verfügt. Der psychi atrische Sachverständige hat anschaulich dargestell t, dass der für seine Beurteilung massgebende objektive klinische B efund abgesehen von einer leichten affektiven Symptomatik im Sinne einer leichtgradigen Depressiv ität unauffällig gewesen ist und dass die Beschwerdeführerin bezüglich dieser depressiven Sym ptomatik beschwerdebetonend und phasenweise auch unauthentisch gewirkt hat. Er hat überzeugend aufgezeigt, dass die vom behandelnden Psychiater gestellte Diagnose einer schizophrenen Störung nur auf den Selbstangaben der Beschwerdeführerin beruht und dass das nicht od er nur schwerlich vortäuschbare Leitsymptom einer schizophrenen Störung, nämlich eine Störung des Gedankenflusses, die sich in Sprechstörungen äussert, bislang nie hat festgestellt werden könn en. Da sich in den Akten aus dem ersten Verwaltungsverfahren zahlreiche Hinweise auf eine A ggravation finden, wiegt diese Kritik an den Berichten von Dr. C.___ schwer. Bereits im ersten Beschwerdeverfahren hatte das Versicherungsgericht darauf hingewiesen, dass Dr. C.___ (damals als behandelnder Arzt der Klinik D.___) nicht unbesehen auf die Selbstangaben der Beschwerdeführerin hätte abstellen dürfen; er hätte diese angesichts des starken Aggravationsverdachtes kritisch hinterfragen müssen, was er allerdings aus nicht nachvollziehbaren Gründen bis dato nie getan hat. Vor dem Hintergrund des weitestgehend unauffälligen objektiven klinischen Befundes überze ugt die Schlussfolgerung des psychiatrischen Sachverständigen der SMAB AG, die Beschwerdeführerin habe im hier massgebenden Zeitraum nicht an einer sich auf die Arbeitsfähigkeit auswirkenden psychischen Gesundheitsbeeinträchtigung gelitten. Auch der internistische Sachverständige hat keine G esundheitsbeeinträchtigung mit Auswirkung auf die Arbeitsfähigkeit feststellen können. Gestützt auf das Gutachten der SMAB AG steht folglich mit dem erforderlichen Beweisgrad der überwiegenden Wahrsch einlichkeit fest, dass die Beschwerdeführerin im hier massgebenden Zeitraum nicht in ihrer Arbeitsfähigkeit eingeschränkt gewesen ist.</w:t>
      </w:r>
    </w:p>
    <w:p>
      <w:r>
        <w:rPr>
          <w:b/>
        </w:rPr>
        <w:t>E. 4.2</w:t>
      </w:r>
    </w:p>
    <w:p>
      <w:r>
        <w:t>Mangels einer ununterbrochenen Arbeitsunfähigkeit von durchschnittlich mindestens 40 Prozent während eines Jahres hat die Beschwerdeführerin das sogenannte Wartejahr (Art. 28 Abs. 1 lit. b IVG) nicht erfüllt, was die Zusprache einer Invalidenren te ausschliesst. Da ihr zudem leidensadaptierte Hilfsarbeiten uneingeschränkt zugemutet werden können und da sie folglich in der Lage ist, ein dem statistischen Zentralwert der Hilfsarbeiterinnenlöh ne und damit ein dem Valideneinkommen entsprechendes Erwerbseinkommen zu erzielen, ist sie auch nicht invalid (Invaliditä tsgrad von null Prozent). Die angefochtene Verfügung, mit der die B eschwerdegegnerin das Rentenbegehren abgewiesen hat, erweist sich als rechtmässig, weshalb die Beschwerde abzuweisen ist. IV 2024/106 7/8</w:t>
      </w:r>
    </w:p>
    <w:p>
      <w:r>
        <w:rPr>
          <w:b/>
        </w:rPr>
        <w:t>E. 5</w:t>
      </w:r>
    </w:p>
    <w:p>
      <w:r>
        <w:t>Die angesichts des durchschnittlichen Verfahrensauf wandes praxisgemäss auf 600 Franken festzusetzenden Gerichtskosten sind der unterliegenden Beschwerdeführerin aufzuerlegen. Diese sind durch den von ihr geleisteten Kostenvorschuss von 6 00 Franken gedeckt. Die unterliegende Beschwerdeführerin hat keinen Anspruch auf eine Parteientschädigung. Entscheid im Zirkulationsverfahren gemäss Art. 39 VRP 1. Die Beschwerde wird abgewiesen. 2. Die Beschwerdeführerin hat die Gerichtskosten von 600 F ranken zu bezahlen; diese sind durch den von ihr geleisteten Kostenvorschuss von 600 Franken gedeckt. 3. Das Begehren um eine Parteientschädigung wird abgewiesen. IV 2024/106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